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6 Федерального закона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</w:t>
      </w:r>
    </w:p>
    <w:p>
      <w:r>
        <w:rPr>
          <w:b/>
        </w:rPr>
        <w:t>Статья 1</w:t>
      </w:r>
    </w:p>
    <w:p>
      <w:r>
        <w:t>Внести в Федеральный закон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(Собрание законодательства Российской Федерации, 2023, № 25, ст. 4392; 2024, № 33, ст. 5021) следующие изменения</w:t>
      </w:r>
    </w:p>
    <w:p>
      <w:r>
        <w:t>часть 6 статьи 5 дополнить предложением следующего содержания: "Принятие решения о запрете оборота табачной продукции, никотинсодержащей продукции и (или) сырья для их производства в случае проведения контрольного (надзорного) мероприятия, по результатам которого выявлены нарушения законодательства Российской Федерации о государственном регулировании производства и оборота табачных изделий, табачной продукции, никотинсодержащей продукции и сырья для их производства, или в случае составления акта о невозможности проведения контрольного (надзорного) мероприятия в соответствии с Федеральным законом от 31 июля 2020 года № 248-ФЗ "О государственном контроле (надзоре) и муниципальном контроле в Российской Федерации" осуществляет федеральный орган по контролю и надзору в порядке, установленном Правительством Российской Федерации."</w:t>
      </w:r>
    </w:p>
    <w:p>
      <w:r>
        <w:t>часть 1 статьи 6 дополнить пунктом 12 следующего содержания: "12) оборот табачной продукции, никотинсодержащей продукции и (или) сырья для их производства, в отношении которых принято решение о запрете оборота."</w:t>
      </w:r>
    </w:p>
    <w:p>
      <w:r>
        <w:rPr>
          <w:b/>
        </w:rPr>
        <w:t>Статья 2</w:t>
      </w:r>
    </w:p>
    <w:p>
      <w:r>
        <w:t>В целях пресечения незаконного оборота табачной продукции и никотинсодержащей продукции на территории Российской Федерации не допускается оборот, в том числе розничная продажа</w:t>
      </w:r>
    </w:p>
    <w:p>
      <w:r>
        <w:t>табачной продукции, которая находилась в обороте без нанесенных средств идентификации по состоянию на 30 июня 2020 года и была маркирована средствами идентификации до 1 декабря 2020 года</w:t>
      </w:r>
    </w:p>
    <w:p>
      <w:r>
        <w:t>табачной продукции, которая находилась в обороте без нанесенных средств идентификации по 30 июня 2021 года и была маркирована средствами идентификации до 1 июля 2021 года</w:t>
      </w:r>
    </w:p>
    <w:p>
      <w:r>
        <w:t>никотинсодержащей продукции, которая находилась в обороте без нанесенных средств идентификации по состоянию на 1 марта 2022 года и была маркирована средствами идентификации до 1 октября 2023 года</w:t>
      </w:r>
    </w:p>
    <w:p>
      <w:r>
        <w:t>никотинсодержащей продукции, которая находилась в обороте без нанесенных средств идентификации по состоянию на 15 декабря 2022 года и была маркирована средствами идентификации до 1 декабря 2023 года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2025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и 3 статьи 2 настоящего Федерального закона вступают в силу с 1 сентября 2025 года</w:t>
      </w:r>
    </w:p>
    <w:p>
      <w:r>
        <w:rPr>
          <w:b/>
        </w:rPr>
        <w:t xml:space="preserve">3. </w:t>
      </w:r>
      <w:r>
        <w:t>Пункт 2 статьи 2 настоящего Федерального закона вступает в силу с 1 сентября 2034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