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62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62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30, ст. 3597; 2009, № 52, ст. 6427; 2010, № 45, ст. 5753; 2011, № 15, ст. 2041; 2015, № 1, ст. 72; 2022, № 10, ст. 1396; № 29, ст. 5238; 2023, № 23, ст. 4017) изменение, дополнив ее частью 15 следующего содержания: "15. С 1 апреля 2025 года до 1 марта 2028 года весовой и габаритный контроль не осуществляется в отношении двуосных и трехосных тяжеловесных транспортных средств, используемых для транспортирования твердых коммунальных отходов, сведения о которых содержатся в федеральной государственной информационной системе учета твердых коммунальных отходов. Сведения о транспортных средствах, используемых для транспортирования твердых коммунальных отходов, которые содержатся в федеральной государственной информационной системе учета твердых коммунальных отходов,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(или) крупногабаритного транспортного средства с использованием единой системы межведомственного электронного взаимодействия.".</w:t>
      </w:r>
    </w:p>
    <w:p>
      <w:r>
        <w:rPr>
          <w:b/>
        </w:rPr>
        <w:t>Статья 2</w:t>
      </w:r>
    </w:p>
    <w:p>
      <w:r>
        <w:t>Правительство Российской Федерации до 1 сентября 2026 года устанавливает требования к транспортным средствам, производимым и используемым для транспортирования твердых коммунальных отходов по автомобильным дорогам общего пользования федерального, регионального или межмуниципального, местного значения, и их эксплуатации. Установленные в соответствии с настоящей статьей требования к транспортным средствам, производимым и используемым для транспортирования твердых коммунальных отходов по автомобильным дорогам общего пользования федерального, регионального или межмуниципального, местного значения, и их эксплуатации подлежат применению в отношении транспортных средств, выпущенных в обращение после 1 марта 2028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