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 Федерального закона "О противодействии терроризму"</w:t>
      </w:r>
    </w:p>
    <w:p>
      <w:r>
        <w:rPr>
          <w:b/>
        </w:rPr>
        <w:t>Статья 1</w:t>
      </w:r>
    </w:p>
    <w:p>
      <w:r>
        <w:t>Внести в пункт 5 части 3 статьи 11 Федерального закона от 6 марта 2006 года № 35-ФЗ "О противодействии терроризму" (Собрание законодательства Российской Федерации, 2006, № 11, ст. 1146; 2008, № 52, ст. 6227; 2016, № 28, ст. 4558) изменение, изложив его в следующей редакции: "5) использование транспортных средств и (или) самоходных машин, принадлежащих организациям независимо от форм собственности (за исключением транспортных средств и (или) самоходных машин дипломатических представительств, консульских и иных учреждений иностранных государств и международных организаций), а в неотложных случаях транспортных средств и (или) самоходных машин, принадлежащих физическим лицам, для обеспечения мероприятий по борьбе с терроризмом. Порядок возмещения расходов, связанных с таким использованием транспортных средств и (или) самоходных машин, определяется Правительством Российской Федерации;".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