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 контроле за деятельностью лиц, находящихся под иностранным влиянием"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