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статью 20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18, ст. 1687; № 35, ст. 3607; 2011, № 1, ст. 30; № 46, ст. 6407; 2013, № 48, ст. 6165; 2014, № 23, ст. 2930; № 45, ст. 6152; 2015, № 51, ст. 7241; 2019, № 27, ст. 3529; 2022, № 5, ст. 678; № 45, ст. 7664; 2023, № 1, ст. 50; № 31, ст. 5752; 2024, № 1, ст. 20) следующие изменения</w:t>
      </w:r>
    </w:p>
    <w:p>
      <w:r>
        <w:t>абзац второй пункта 1 после слов "на лечение и обратно," дополнить словами "к месту проведения военно-врачебными (врачебно-летными) комиссиями военно-врачебной экспертизы и обратно,"</w:t>
      </w:r>
    </w:p>
    <w:p>
      <w:r>
        <w:t>пункт 4: а) после слов "тяжелой болезни военнослужащего" дополнить словами ", в том числе вследствие увечья (ранения, травмы, контузии),"; б) дополнить абзацами вторым и третьим следующего содержания: "Правом на проезд на безвозмездной основе в порядке, установленном Министерством обороны Российской Федерации (Федеральной службой войск национальной гвардии Российской Федерации), в соответствии с абзацем первым настоящего пункта обладают также два члена семьи или два близких родственника гражданина, пребывающего в добровольческом формировании. Для целей настоящей статьи под близкими родственниками военнослужащего или гражданина, пребывающего в добровольческом формировании, понимаются отец (мать), отец (мать) супруга, сын (дочь), полнородные (неполнородные) братья и сестры."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