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2007, № 7, ст. 839; 2008, № 20, ст. 2255; 2011, № 23, ст. 3255; № 30, ст. 4566, 4600; 2013, № 19, ст. 2325; № 30, ст. 4033; № 43, ст. 5444; № 48, ст. 6165; № 51, ст. 6695; № 52, ст. 6981; 2016, № 27, ст. 4214; 2017, № 14, ст. 2003; 2018, № 15, ст. 2032; № 53, ст. 8457; 2021, № 18, ст. 3068; № 24, ст. 4188; № 27, ст. 5175; 2022, № 27, ст. 4633; 2024, № 12, ст. 1566; № 53, ст. 8489; 2025, № 15, ст. 1798; № 31, ст. 4686; № 40, ст. 5821; № 44, ст. 6498) следующие изменения</w:t>
      </w:r>
    </w:p>
    <w:p>
      <w:r>
        <w:t>статью 27 дополнить частью 6 следующего содержания: "6. Не допускается направление рекламы организаторами азартных игр, а также третьими лицами, действующими по поручению или в интересах организаторов азартных игр, в адрес физического лица, информация о котором включена в перечень физических лиц, отказавшихся от участия в азартных играх, предусмотренный статьей 52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Федерации"."</w:t>
      </w:r>
    </w:p>
    <w:p>
      <w:r>
        <w:t>в статье 38: а) в части 6 слова "частями 1 и 5 статьи 27" заменить словами "частями 1, 5 и 6 статьи 27"; б) в части 7 слова "частями 2 и 5 статьи 27" заменить словами "частями 2, 5 и 6 статьи 27"</w:t>
      </w:r>
    </w:p>
    <w:p>
      <w:r>
        <w:rPr>
          <w:b/>
        </w:rPr>
        <w:t>Статья 2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2010, № 45, ст. 5746; 2011, № 24, ст. 3358; № 30, ст. 4590; 2012, № 43, ст. 5781; 2013, № 30, ст. 4031; 2014, № 30, ст. 4223, 4279; 2016, № 18, ст. 2497; 2017, № 49, ст. 7330; 2018, № 53, ст. 8405; 2019, № 27, ст. 3534; № 52, ст. 7813; 2020, № 31, ст. 5029; 2021, № 1, ст. 32; № 24, ст. 4188; 2023, № 29, ст. 5321; 2024, № 31, ст. 4463) следующие изменения: 1) статью 4 дополнить пунктом 32 следующего содержания: "32) обменные знаки игорного заведения - фишки, жетоны или иные знаки (документы), предназначенные для обращения в казино и залах игровых автоматов по правилам, установленным организатором азартных игр."; 2) дополнить статьей 52 следующего содержания: "Статья 52. Отказ от участия в азартных играх 1. Физическое лицо вправе отказаться от участия в азартных играх путем направления в единый регулятор азартных игр заявления о включении информации о физическом лице в перечень физических лиц, отказавшихся от участия в азартных играх.</w:t>
      </w:r>
    </w:p>
    <w:p>
      <w:r>
        <w:rPr>
          <w:b/>
        </w:rPr>
        <w:t xml:space="preserve">2. </w:t>
      </w:r>
      <w:r>
        <w:t>К заявлению о включении информации о физическом лице в перечень физических лиц, отказавшихся от участия в азартных играх, прилагается согласие субъекта персональных данных на обработку его персональных данных в соответствии с требованиями Федерального закона от 27 июля 2006 года № 152-ФЗ "О персональных данных"</w:t>
      </w:r>
    </w:p>
    <w:p>
      <w:r>
        <w:rPr>
          <w:b/>
        </w:rPr>
        <w:t xml:space="preserve">3. </w:t>
      </w:r>
      <w:r>
        <w:t>В заявлении о включении информации о физическом лице в перечень физических лиц, отказавшихся от участия в азартных играх, должен быть указан срок, на который физическое лицо отказывается от участия в азартных играх. Срок, на который физическое лицо отказывается от участия в азартных играх, не может составлять менее двенадцати месяцев. При необходимости возврата сумм, указанных в подпункте "а" пункта 1 и подпункте "а" пункта 2 части 16 настоящей статьи, в заявлении о включении информации о физическом лице в перечень физических лиц, отказавшихся от участия в азартных играх, также должны быть указаны реквизиты банковского счета, на который они будут возвращены</w:t>
      </w:r>
    </w:p>
    <w:p>
      <w:r>
        <w:rPr>
          <w:b/>
        </w:rPr>
        <w:t xml:space="preserve">4. </w:t>
      </w:r>
      <w:r>
        <w:t>Информация о физическом лице исключается из перечня физических лиц, отказавшихся от участия в азартных играх</w:t>
      </w:r>
    </w:p>
    <w:p>
      <w:r>
        <w:rPr>
          <w:b/>
        </w:rPr>
        <w:t xml:space="preserve">5. </w:t>
      </w:r>
      <w:r>
        <w:t>Единый регулятор азартных игр ведет перечень физических лиц, отказавшихся от участия в азартных играх</w:t>
      </w:r>
    </w:p>
    <w:p>
      <w:r>
        <w:rPr>
          <w:b/>
        </w:rPr>
        <w:t xml:space="preserve">6. </w:t>
      </w:r>
      <w:r>
        <w:t>Заявление о включении информации о физическом лице в перечень физических лиц, отказавшихся от участия в азартных играх, подается физическим лицом в единый регулятор азартных игр</w:t>
      </w:r>
    </w:p>
    <w:p>
      <w:r>
        <w:rPr>
          <w:b/>
        </w:rPr>
        <w:t xml:space="preserve">7. </w:t>
      </w:r>
      <w:r>
        <w:t>Заявление о включении информации о физическом лице в перечень физических лиц, отказавшихся от участия в азартных играх, не может быть отозвано</w:t>
      </w:r>
    </w:p>
    <w:p>
      <w:r>
        <w:rPr>
          <w:b/>
        </w:rPr>
        <w:t xml:space="preserve">8. </w:t>
      </w:r>
      <w:r>
        <w:t>Форма и формат заявления о включении информации о физическом лице в перечень физических лиц, отказавшихся от участия в азартных играх, и форма согласия субъекта персональных данных на обработку его персональных данных в соответствии с требованиями Федерального закона от 27 июля 2006 года № 152-ФЗ "О персональных данных" устанавливаются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</w:t>
      </w:r>
    </w:p>
    <w:p>
      <w:r>
        <w:rPr>
          <w:b/>
        </w:rPr>
        <w:t xml:space="preserve">9. </w:t>
      </w:r>
      <w:r>
        <w:t>Единый регулятор азартных игр включает информацию о физическом лице в перечень физических лиц, отказавшихся от участия в азартных играх, не позднее чем через двенадцать часов с момента получения заявления о включении информации о физическом лице в указанный перечень в соответствии с частью 6 настоящей статьи. В личном кабинете физического лица на едином портале государственных и муниципальных услуг размещаются сведения о включении информации о физическом лице в перечень физических лиц, отказавшихся от участия в азартных играх</w:t>
      </w:r>
    </w:p>
    <w:p>
      <w:r>
        <w:rPr>
          <w:b/>
        </w:rPr>
        <w:t xml:space="preserve">10. </w:t>
      </w:r>
      <w:r>
        <w:t>Перечень физических лиц, отказавшихся от участия в азартных играх, не подлежит размещению в информационно-телекоммуникационной сети "Интернет", а также иному разглашению, за исключением случаев, предусмотренных частью 12 настоящей статьи</w:t>
      </w:r>
    </w:p>
    <w:p>
      <w:r>
        <w:rPr>
          <w:b/>
        </w:rPr>
        <w:t xml:space="preserve">11. </w:t>
      </w:r>
      <w:r>
        <w:t>Порядок ведения перечня физических лиц, отказавшихся от участия в азартных играх, и состав информации, включаемой в указанный перечень, устанавливаются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</w:t>
      </w:r>
    </w:p>
    <w:p>
      <w:r>
        <w:rPr>
          <w:b/>
        </w:rPr>
        <w:t xml:space="preserve">12. </w:t>
      </w:r>
      <w:r>
        <w:t>Единый регулятор азартных игр обеспечивает бесперебойный доступ к перечню физических лиц, отказавшихся от участия в азартных играх, организаторам азартных игр, единому центру учета переводов ставок букмекерских контор и тотализаторов, а также уполномоченному Правительством Российской Федерации федеральному органу исполнительной власти, осуществляющему государственный контроль (надзор) за организацией и проведением азартных игр, в порядке, определяемом единым регулятором азартных игр по согласованию с указанным федеральным органом исполнительной власти, на безвозмездной основе</w:t>
      </w:r>
    </w:p>
    <w:p>
      <w:r>
        <w:rPr>
          <w:b/>
        </w:rPr>
        <w:t xml:space="preserve">13. </w:t>
      </w:r>
      <w:r>
        <w:t>Информация, содержащаяся в перечне физических лиц, отказавшихся от участия в азартных играх, обновляется ежедневно в 12 часов 00 минут и 24 часа 00 минут по московскому времени</w:t>
      </w:r>
    </w:p>
    <w:p>
      <w:r>
        <w:rPr>
          <w:b/>
        </w:rPr>
        <w:t xml:space="preserve">14. </w:t>
      </w:r>
      <w:r>
        <w:t>С момента обновления информации, содержащейся в перечне физических лиц, отказавшихся от участия в азартных играх, в соответствии с частью 13 настоящей статьи не допускается</w:t>
      </w:r>
    </w:p>
    <w:p>
      <w:r>
        <w:rPr>
          <w:b/>
        </w:rPr>
        <w:t xml:space="preserve">15. </w:t>
      </w:r>
      <w:r>
        <w:t>Организатор азартных игр обязан отказать физическому лицу, информация о котором включена в перечень физических лиц, отказавшихся от участия в азартных играх, в доступе в игорное заведение, а также к его личному кабинету на сайте организатора азартных игр, используемом для принятия интерактивных ставок</w:t>
      </w:r>
    </w:p>
    <w:p>
      <w:r>
        <w:rPr>
          <w:b/>
        </w:rPr>
        <w:t xml:space="preserve">16. </w:t>
      </w:r>
      <w:r>
        <w:t>В срок не позднее пяти рабочих дней со дня включения информации о физическом лице в перечень физических лиц, отказавшихся от участия в азартных играх, организаторы азартных игр в букмекерских конторах и тотализаторах обязаны</w:t>
      </w:r>
    </w:p>
    <w:p>
      <w:r>
        <w:rPr>
          <w:b/>
        </w:rPr>
        <w:t xml:space="preserve">17. </w:t>
      </w:r>
      <w:r>
        <w:t>Физическое лицо вправе направить в единый регулятор азартных игр заявление об исключении информации о нем из перечня физических лиц, отказавшихся от участия в азартных играх, не ранее чем через двенадцать месяцев со дня включения информации о нем в указанный перечень</w:t>
      </w:r>
    </w:p>
    <w:p>
      <w:r>
        <w:rPr>
          <w:b/>
        </w:rPr>
        <w:t xml:space="preserve">18. </w:t>
      </w:r>
      <w:r>
        <w:t>К заявлению об исключении информации о физическом лице из перечня физических лиц, отказавшихся от участия в азартных играх, прилагается согласие субъекта персональных данных на обработку его персональных данных в соответствии с требованиями Федерального закона от 27 июля 2006 года № 152-ФЗ "О персональных данных"</w:t>
      </w:r>
    </w:p>
    <w:p>
      <w:r>
        <w:rPr>
          <w:b/>
        </w:rPr>
        <w:t xml:space="preserve">19. </w:t>
      </w:r>
      <w:r>
        <w:t>Заявление об исключении информации о физическом лице из перечня физических лиц, отказавшихся от участия в азартных играх, подается физическим лицом</w:t>
      </w:r>
    </w:p>
    <w:p>
      <w:r>
        <w:rPr>
          <w:b/>
        </w:rPr>
        <w:t xml:space="preserve">20. </w:t>
      </w:r>
      <w:r>
        <w:t>Форма и формат заявления об исключении информации о физическом лице из перечня физических лиц, отказавшихся от участия в азартных играх, и форма согласия субъекта персональных данных на обработку его персональных данных в соответствии с требованиями Федерального закона от 27 июля 2006 года № 152-ФЗ "О персональных данных" устанавливаются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</w:t>
      </w:r>
    </w:p>
    <w:p>
      <w:r>
        <w:rPr>
          <w:b/>
        </w:rPr>
        <w:t xml:space="preserve">21. </w:t>
      </w:r>
      <w:r>
        <w:t>Единый регулятор азартных игр исключает информацию о физическом лице из перечня физических лиц, отказавшихся от участия в азартных играх, не позднее чем через двенадцать часов по истечении срока, указанного в заявлении о включении информации о физическом лице в перечень физических лиц, отказавшихся от участия в азартных играх, на основании которого информация о физическом лице была включена в указанный перечень, а также с момента получения заявления об исключении информации о физическом лице из указанного перечня, на основании которого информация о физическом лице исключается из указанного перечня в соответствии с частью 19 настоящей статьи. В личном кабинете физического лица на едином портале государственных и муниципальных услуг размещаются сведения об исключении информации о физическом лице из перечня физических лиц, отказавшихся от участия в азартных играх</w:t>
      </w:r>
    </w:p>
    <w:p>
      <w:r>
        <w:rPr>
          <w:b/>
        </w:rPr>
        <w:t xml:space="preserve">22. </w:t>
      </w:r>
      <w:r>
        <w:t>Основанные на риске соглашения о выигрыше, заключенные с физическим лицом, информация о котором включена в перечень физических лиц, отказавшихся от участия в азартных играх, с момента обновления такой информации в указанном перечне в соответствии с частью 13 настоящей статьи до момента исключения информации о физическом лице из указанного перечня в соответствии с частью 21 настоящей статьи путем обновления такой информации в указанном перечне в соответствии с частью 13 настоящей статьи, являются ничтожными</w:t>
      </w:r>
    </w:p>
    <w:p>
      <w:r>
        <w:rPr>
          <w:b/>
        </w:rPr>
        <w:t xml:space="preserve">23. </w:t>
      </w:r>
      <w:r>
        <w:t>Доступ физического лица к сведениям о статусе направленных им заявления о включении информации о физическом лице в перечень физических лиц, отказавшихся от участия в азартных играх, заявления об исключении информации о физическом лице из указанного перечня обеспечивается посредством единого портала государственных и муниципальных услуг</w:t>
      </w:r>
    </w:p>
    <w:p>
      <w:r>
        <w:rPr>
          <w:b/>
        </w:rPr>
        <w:t xml:space="preserve">24. </w:t>
      </w:r>
      <w:r>
        <w:t>Организаторы азартных игр обязаны разместить информацию о порядке подачи заявлений о включении информации о физическом лице в перечень физических лиц, отказавшихся от участия в азартных играх, заявлений об исключении информации о физическом лице из указанного перечня путем размещения на своем официальном сайте в информационно-телекоммуникационной сети "Интернет" графического изображения, являющегося статичной или анимированной картинкой, со ссылкой на раздел единого портала государственных и муниципальных услуг, с использованием которого могут быть поданы такие заявления. Требования к оформлению, размерам и содержанию указанного графического изображения, а также к его размещению на официальном сайте организатора азартных игр в информационно-телекоммуникационной сети "Интернет" устанавливаются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</w:t>
      </w:r>
    </w:p>
    <w:p>
      <w:r>
        <w:rPr>
          <w:b/>
        </w:rPr>
        <w:t xml:space="preserve">25. </w:t>
      </w:r>
      <w:r>
        <w:t>Организаторы азартных игр обязаны размещать в доступных для посетителей игорных заведений местах двухмерный штриховой код (QR-код), содержащий в кодированном виде адрес раздела единого портала государственных и муниципальных услуг, с использованием которого могут быть поданы заявление о включении информации о физическом лице в перечень физических лиц, отказавшихся от участия в азартных играх, заявление об исключении информации о физическом лице из указанного перечня. Требования к размерам двухмерных штриховых кодов (QR-кодов), местам их размещения в игорном заведении, а также к их количеству в игорном заведении устанавливаются федеральным органом исполнительной власти, уполномоченным Правительством Российской Федерации на осуществление функций по нормативно-правовому регулированию в сфере организации и проведения азартных игр</w:t>
      </w:r>
    </w:p>
    <w:p>
      <w:r>
        <w:rPr>
          <w:b/>
        </w:rPr>
        <w:t xml:space="preserve">26. </w:t>
      </w:r>
      <w:r>
        <w:t>Выдача обменных знаков игорного заведения в обмен на денежные средства в казино и залах игровых автоматов осуществляется в соответствии с правилами, установленными организатором азартной игры, при условии проведения идентификации лица, желающего стать участником азартной игры,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 и установления возраста такого лица</w:t>
      </w:r>
    </w:p>
    <w:p>
      <w:r>
        <w:rPr>
          <w:b/>
        </w:rPr>
        <w:t xml:space="preserve">27. </w:t>
      </w:r>
      <w:r>
        <w:t>Организаторы азартных игр обязаны разработать и утвердить положение об ответственной игре, разъясняющее порядок отказа от участия в азартных играх. Положение об ответственной игре должно быть размещено в доступном для посетителей игорного заведения месте, а также на официальном сайте организатора азартных игр в информационно-телекоммуникационной сети "Интернет".";</w:t>
      </w:r>
    </w:p>
    <w:p>
      <w:r>
        <w:rPr>
          <w:b/>
        </w:rPr>
        <w:t xml:space="preserve">4. </w:t>
      </w:r>
      <w:r>
        <w:t>по истечении срока, указанного в заявлении о включении информации о физическом лице в перечень физических лиц, отказавшихся от участия в азартных играх, на основании которого информация о физическом лице была включена в перечень физических лиц, отказавшихся от участия в азартных играх</w:t>
      </w:r>
    </w:p>
    <w:p>
      <w:r>
        <w:rPr>
          <w:b/>
        </w:rPr>
        <w:t xml:space="preserve">4. </w:t>
      </w:r>
      <w:r>
        <w:t>на основании заявления об исключении информации о физическом лице из перечня физических лиц, отказавшихся от участия в азартных играх, направленного в соответствии с частями 17 и 19 настоящей статьи</w:t>
      </w:r>
    </w:p>
    <w:p>
      <w:r>
        <w:rPr>
          <w:b/>
        </w:rPr>
        <w:t xml:space="preserve">6. </w:t>
      </w:r>
      <w:r>
        <w:t>через многофункциональный центр предоставления государственных и муниципальных услуг независимо от места жительства или места пребывания физического лица при представлении физическим лицом паспорта или иного документа, удостоверяющего личность</w:t>
      </w:r>
    </w:p>
    <w:p>
      <w:r>
        <w:rPr>
          <w:b/>
        </w:rPr>
        <w:t xml:space="preserve">6. </w:t>
      </w:r>
      <w:r>
        <w:t>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в форме электронного документа, подписанного заявителем одним из следующих способов:</w:t>
      </w:r>
    </w:p>
    <w:p>
      <w:r>
        <w:rPr>
          <w:b/>
        </w:rPr>
        <w:t xml:space="preserve">6. </w:t>
      </w:r>
      <w:r>
        <w:t>простой электронной подписью</w:t>
      </w:r>
    </w:p>
    <w:p>
      <w:r>
        <w:rPr>
          <w:b/>
        </w:rPr>
        <w:t xml:space="preserve">6. </w:t>
      </w:r>
      <w: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</w:t>
      </w:r>
    </w:p>
    <w:p>
      <w:r>
        <w:rPr>
          <w:b/>
        </w:rPr>
        <w:t xml:space="preserve">6. </w:t>
      </w:r>
      <w:r>
        <w:t>усиленной квалифицированной электронной подписью</w:t>
      </w:r>
    </w:p>
    <w:p>
      <w:r>
        <w:rPr>
          <w:b/>
        </w:rPr>
        <w:t xml:space="preserve">14. </w:t>
      </w:r>
      <w:r>
        <w:t>прием организаторами азартных игр в букмекерских конторах и тотализаторах ставок от физического лица, информация о котором включена в перечень физических лиц, отказавшихся от участия в азартных играх</w:t>
      </w:r>
    </w:p>
    <w:p>
      <w:r>
        <w:rPr>
          <w:b/>
        </w:rPr>
        <w:t xml:space="preserve">14. </w:t>
      </w:r>
      <w:r>
        <w:t>прием организаторами азартных игр в букмекерских конторах и тотализаторах интерактивных ставок от физического лица, информация о котором включена в перечень физических лиц, отказавшихся от участия в азартных играх</w:t>
      </w:r>
    </w:p>
    <w:p>
      <w:r>
        <w:rPr>
          <w:b/>
        </w:rPr>
        <w:t xml:space="preserve">14. </w:t>
      </w:r>
      <w:r>
        <w:t>перевод денежных средств (в том числе электронных денежных средств) единым центром учета переводов ставок букмекерских контор и тотализаторов организаторам азартных игр в букмекерских конторах и тотализаторах по поручению физического лица, информация о котором включена в перечень физических лиц, отказавшихся от участия в азартных играх</w:t>
      </w:r>
    </w:p>
    <w:p>
      <w:r>
        <w:rPr>
          <w:b/>
        </w:rPr>
        <w:t xml:space="preserve">14. </w:t>
      </w:r>
      <w:r>
        <w:t>выдача обменных знаков игорного заведения в обмен на денежные средства, выдача (выплата) денежных средств в обмен на предъявленные обменные знаки игорного заведения организаторами азартных игр в казино и залах игровых автоматов физическому лицу, информация о котором включена в перечень физических лиц, отказавшихся от участия в азартных играх</w:t>
      </w:r>
    </w:p>
    <w:p>
      <w:r>
        <w:rPr>
          <w:b/>
        </w:rPr>
        <w:t xml:space="preserve">14. </w:t>
      </w:r>
      <w:r>
        <w:t>заключение основанного на риске соглашения о выигрыше с физическим лицом, информация о котором включена в перечень физических лиц, отказавшихся от участия в азартных играх</w:t>
      </w:r>
    </w:p>
    <w:p>
      <w:r>
        <w:rPr>
          <w:b/>
        </w:rPr>
        <w:t xml:space="preserve">14. </w:t>
      </w:r>
      <w:r>
        <w:t>организация заключения основанного на риске соглашения о выигрыше между двумя или несколькими участниками азартных игр, если информация хотя бы об одном из них включена в перечень физических лиц, отказавшихся от участия в азартных играх</w:t>
      </w:r>
    </w:p>
    <w:p>
      <w:r>
        <w:rPr>
          <w:b/>
        </w:rPr>
        <w:t xml:space="preserve">14. </w:t>
      </w:r>
      <w:r>
        <w:t>направление в адрес физического лица, информация о котором включена в перечень физических лиц, отказавшихся от участия в азартных играх, рекламы организаторами азартных игр, а также третьими лицами, действующими по поручению или в интересах организаторов азартных игр</w:t>
      </w:r>
    </w:p>
    <w:p>
      <w:r>
        <w:rPr>
          <w:b/>
        </w:rPr>
        <w:t xml:space="preserve">16. </w:t>
      </w:r>
      <w:r>
        <w:t>отменить заключенные пари на исходы событий, не наступивших на момент обновления информации, содержащейся в перечне физических лиц, отказавшихся от участия в азартных играх, и возвратить участнику азартной игры в полном объеме:</w:t>
      </w:r>
    </w:p>
    <w:p>
      <w:r>
        <w:rPr>
          <w:b/>
        </w:rPr>
        <w:t xml:space="preserve">16. </w:t>
      </w:r>
      <w:r>
        <w:t>выплатить по результатам пари, заключенных относительно событий, наступивших до момента обновления информации, содержащейся в перечне физических лиц, отказавшихся от участия в азартных играх:</w:t>
      </w:r>
    </w:p>
    <w:p>
      <w:r>
        <w:rPr>
          <w:b/>
        </w:rPr>
        <w:t xml:space="preserve">16. </w:t>
      </w:r>
      <w:r>
        <w:t>суммы ставок, переданные в качестве условия заключения таких пари путем перечисления на банковский счет, реквизиты которого указаны в заявлении о включении информации о физическом лице в перечень физических лиц, отказавшихся от участия в азартных играх</w:t>
      </w:r>
    </w:p>
    <w:p>
      <w:r>
        <w:rPr>
          <w:b/>
        </w:rPr>
        <w:t xml:space="preserve">16. </w:t>
      </w:r>
      <w:r>
        <w:t>суммы интерактивных ставок, переданные в качестве условия заключения таких пари</w:t>
      </w:r>
    </w:p>
    <w:p>
      <w:r>
        <w:rPr>
          <w:b/>
        </w:rPr>
        <w:t xml:space="preserve">16. </w:t>
      </w:r>
      <w:r>
        <w:t>выигрыши по ставкам путем перечисления на банковский счет, реквизиты которого указаны в заявлении о включении информации о физическом лице в перечень физических лиц, отказавшихся от участия в азартных играх</w:t>
      </w:r>
    </w:p>
    <w:p>
      <w:r>
        <w:rPr>
          <w:b/>
        </w:rPr>
        <w:t xml:space="preserve">16. </w:t>
      </w:r>
      <w:r>
        <w:t>выигрыши по интерактивным ставкам</w:t>
      </w:r>
    </w:p>
    <w:p>
      <w:r>
        <w:rPr>
          <w:b/>
        </w:rPr>
        <w:t xml:space="preserve">19. </w:t>
      </w:r>
      <w:r>
        <w:t>через многофункциональный центр предоставления государственных и муниципальных услуг независимо от места жительства или места пребывания физического лица при представлении физическим лицом паспорта или иного документа, удостоверяющего личность</w:t>
      </w:r>
    </w:p>
    <w:p>
      <w:r>
        <w:rPr>
          <w:b/>
        </w:rPr>
        <w:t xml:space="preserve">19. </w:t>
      </w:r>
      <w:r>
        <w:t>с использованием единого портала государственных и муниципальных услуг в форме электронного документа, подписанного заявителем одним из следующих способов:</w:t>
      </w:r>
    </w:p>
    <w:p>
      <w:r>
        <w:rPr>
          <w:b/>
        </w:rPr>
        <w:t xml:space="preserve">19. </w:t>
      </w:r>
      <w: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</w:t>
      </w:r>
    </w:p>
    <w:p>
      <w:r>
        <w:rPr>
          <w:b/>
        </w:rPr>
        <w:t xml:space="preserve">19. </w:t>
      </w:r>
      <w:r>
        <w:t>усиленной квалифицированной электронной подписью</w:t>
      </w:r>
    </w:p>
    <w:p>
      <w:r>
        <w:rPr>
          <w:b/>
        </w:rPr>
        <w:t xml:space="preserve">27. </w:t>
      </w:r>
      <w:r>
        <w:t>статью 8 дополнить частью 21 следующего содержания: "21. При входе в пункт приема ставок букмекерской конторы, тотализатора организатор азартных игр в букмекерской конторе, тотализаторе размещает и по первому требованию посетителя букмекерской конторы, тотализатора предоставляет информацию о порядке подачи заявлений о включении информации о физическом лице в перечень физических лиц, отказавшихся от участия в азартных играх, а также о порядке подачи заявлений об исключении информации о физическом лице из указанного перечня."</w:t>
      </w:r>
    </w:p>
    <w:p>
      <w:r>
        <w:rPr>
          <w:b/>
        </w:rPr>
        <w:t xml:space="preserve">27. </w:t>
      </w:r>
      <w:r>
        <w:t>часть 73 статьи 9 изложить в следующей редакции: "73. В случае ликвидации игорной зоны или изменения границ игорной зоны, если такое изменение влечет невозможность осуществления организатором азартных игр деятельности по организации и проведению азартных игр в игорной зоне, на основании федерального закона, указанного в части 7 настоящей статьи, до истечения десяти лет со дня ее создания реальный ущерб, причиненный организатору азартных игр либо иным лицам, которым переданы в собственность или аренду земельные участки и (или) расположенные на них объекты в этой игорной зоне, подлежит компенсации. Порядок компенсации указанного реального ущерба, в том числе порядок определения размера его компенсации, перечень документов, подтверждающих затраты, понесенные организатором азартных игр либо иными лицами, которым переданы в собственность или аренду земельные участки и (или) расположенные на них объекты в этой игорной зоне, в случае принятия федерального закона, указанного в части 7 настоящей статьи, определяются Правительством Российской Федерации."</w:t>
      </w:r>
    </w:p>
    <w:p>
      <w:r>
        <w:rPr>
          <w:b/>
        </w:rPr>
        <w:t xml:space="preserve">27. </w:t>
      </w:r>
      <w:r>
        <w:t>часть 7 статьи 142 изложить в следующей редакции: "7. Выплата выигрышей при наступлении результата каждого заключенного пари физическим лицам - участникам азартных игр, от которых приняты интерактивные ставки, возврат физическим лицам - участникам азартных игр сумм, указанных в подпункте "б" пункта 1 части 16 статьи 52 настоящего Федерального закона, и выплата выигрышей, указанных в подпункте "б" пункта 2 части 16 статьи 52 настоящего Федерального закона, осуществляются организатором азартных игр в букмекерской конторе или тотализаторе с банковского счета организатора азартных игр в букмекерской конторе или тотализаторе, открытого в едином центре учета перевода ставок букмекерских контор и тотализаторов, путем зачисления денежных средств на банковские счета таких физических лиц, которые открыты в едином центре учета переводов ставок букмекерских контор и тотализаторов и с использованием которых переданы соответствующие интерактивные ставки, либо путем увеличения остатков электронных денежных средств на электронных средствах платежа физических лиц - участников азартных игр, которые предоставлены единым центром учета переводов ставок букмекерских контор и тотализаторов и с использованием которых переданы соответствующие интерактивные ставки."</w:t>
      </w:r>
    </w:p>
    <w:p>
      <w:r>
        <w:rPr>
          <w:b/>
        </w:rPr>
        <w:t xml:space="preserve">27. </w:t>
      </w:r>
      <w:r>
        <w:t>подпункт "а" пункта 1 части 2 статьи 151 после слова "установленных" дополнить словами "пунктами 1, 4 - 7 части 14 статьи 52,"</w:t>
      </w:r>
    </w:p>
    <w:p>
      <w:r>
        <w:rPr>
          <w:b/>
        </w:rPr>
        <w:t>Статья 3</w:t>
      </w:r>
    </w:p>
    <w:p>
      <w:r>
        <w:t>Внести в Федеральный закон от 30 декабря 2020 года № 493-ФЗ "О публично-правовой компании "Единый регулятор азартных игр" и о внесении изменений в отдельные законодательные акты Российской Федерации" (Собрание законодательства Российской Федерации, 2021, № 1, ст. 32; № 24, ст. 4188, 4236; 2023, № 26, ст. 4680; № 32, ст. 6185; 2024, № 17, ст. 2291; № 31, ст. 4474; 2025, № 26, ст. 3487) следующие изменения: 1) часть 1 статьи 3 дополнить пунктами 72 и 73 следующего содержания: "72) осуществляет функции заказчика программно-аппаратного комплекса, содержащего пакет прикладных программ, предназначенных для ведения перечня физических лиц, отказавшихся от участия в азартных играх; 73) ведет перечень физических лиц, отказавшихся от участия в азартных играх;"; 2) дополнить статьей 41 следующего содержания: "Статья 41. Ведение Компанией перечня физических лиц, отказавшихся от участия в азартных играх 1. Программно-аппаратный комплекс, содержащий пакет прикладных программ, предназначенных для ведения перечня физических лиц, отказавшихся от участия в азартных играх, используется Компанией в целях ведения указанного перечня, а также для обеспечения бесперебойного доступа к указанному перечню организаторам азартных игр, единому центру учета переводов ставок букмекерских контор и тотализаторов, уполномоченному Правительством Российской Федерации федеральному органу исполнительной власти, осуществляющему государственный контроль (надзор) за организацией и проведением азартных игр.</w:t>
      </w:r>
    </w:p>
    <w:p>
      <w:r>
        <w:rPr>
          <w:b/>
        </w:rPr>
        <w:t xml:space="preserve">2. </w:t>
      </w:r>
      <w:r>
        <w:t>Разработчиком и оператором программно-аппаратного комплекса, содержащего пакет прикладных программ, предназначенных для ведения перечня физических лиц, отказавшихся от участия в азартных играх, является компания, указанная в пункте 2 части 2 статьи 3 настоящего Федерального закона</w:t>
      </w:r>
    </w:p>
    <w:p>
      <w:r>
        <w:rPr>
          <w:b/>
        </w:rPr>
        <w:t xml:space="preserve">3. </w:t>
      </w:r>
      <w:r>
        <w:t>Технические требования к программно-аппаратному комплексу, содержащему пакет прикладных программ, предназначенных для ведения перечня физических лиц, отказавшихся от участия в азартных играх, утверждаются Компанией."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2026 года, за исключением пункта 4 статьи 2 настоящего Федерального закона</w:t>
      </w:r>
    </w:p>
    <w:p>
      <w:r>
        <w:rPr>
          <w:b/>
        </w:rPr>
        <w:t xml:space="preserve">2. </w:t>
      </w:r>
      <w:r>
        <w:t>Пункт 4 статьи 2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Федеральный орган исполнительной власти, уполномоченный Правительством Российской Федерации на осуществление функций по нормативно-правовому регулированию в сфере организации и проведения азартных игр, осуществляет разработку форм и форматов заявления о включении информации о физическом лице в перечень физических лиц, отказавшихся от участия в азартных играх, заявления об исключении информации о физическом лице из перечня физических лиц, отказавшихся от участия в азартных играх, и формы согласия субъекта персональных данных на обработку его персональных данных в соответствии с требованиями Федерального закона от 27 июля 2006 года № 152-ФЗ "О персональных данных"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в срок не позднее трех месяцев со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Публично-правовая компания "Единый регулятор азартных игр" размещает в федеральной государственной информационной системе "Единый портал государственных и муниципальных услуг (функций)" формы заявления о включении информации о физическом лице в перечень физических лиц, отказавшихся от участия в азартных играх, заявления об исключении информации о физическом лице из перечня физических лиц, отказавшихся от участия в азартных играх, и согласия субъекта персональных данных на обработку его персональных данных в соответствии с требованиями Федерального закона от 27 июля 2006 года № 152-ФЗ "О персональных данных" в срок не позднее 1 сентября 2026 года</w:t>
      </w:r>
    </w:p>
    <w:p>
      <w:r>
        <w:rPr>
          <w:b/>
        </w:rPr>
        <w:t xml:space="preserve">5. </w:t>
      </w:r>
      <w:r>
        <w:t>Федеральный орган исполнительной власти, уполномоченный Правительством Российской Федерации на осуществление функций по нормативно-правовому регулированию в сфере организации и проведения азартных игр, по согласованию с федеральным органом исполнительной власти, осуществляющим функции по методическому обеспечению деятельности многофункциональных центров предоставления государственных и муниципальных услуг, определяет порядок подачи заявлений о включении информации о физическом лице в перечень физических лиц, отказавшихся от участия в азартных играх, заявлений об исключении информации о физическом лице из перечня физических лиц, отказавшихся от участия в азартных играх, через многофункциональный центр предоставления государственных и муниципальных услуг, порядок передачи таких заявлений в публично-правовую компанию "Единый регулятор азартных игр" в срок не позднее трех месяцев со дня официального опубликования настоящего Федерального закона</w:t>
      </w:r>
    </w:p>
    <w:p>
      <w:r>
        <w:rPr>
          <w:b/>
        </w:rPr>
        <w:t xml:space="preserve">6. </w:t>
      </w:r>
      <w:r>
        <w:t>Публично-правовая компания "Единый регулятор азартных игр" обеспечивает техническую готовность к взаимодействию с многофункциональными центрами предоставления государственных и муниципальных услуг при подаче физическим лицом заявления о включении информации о физическом лице в перечень физических лиц, отказавшихся от участия в азартных играх, заявления об исключении информации о физическом лице из перечня физических лиц, отказавшихся от участия в азартных играх, в срок не позднее 1 сентября 2026 года</w:t>
      </w:r>
    </w:p>
    <w:p>
      <w:r>
        <w:rPr>
          <w:b/>
        </w:rPr>
        <w:t xml:space="preserve">7. </w:t>
      </w:r>
      <w:r>
        <w:t>Программно-аппаратный комплекс, указанный в пункте 72 части 1 статьи 3 Федерального закона от 30 декабря 2020 года № 493-ФЗ "О публично-правовой компании "Единый регулятор азартных игр" и о внесении изменений в отдельные законодательные акты Российской Федерации", и технические требования к его эксплуатации разрабатываются в срок не позднее трех месяцев со дня официального опубликования настоящего Федерального закона</w:t>
      </w:r>
    </w:p>
    <w:p>
      <w:r>
        <w:rPr>
          <w:b/>
        </w:rPr>
        <w:t xml:space="preserve">8. </w:t>
      </w:r>
      <w:r>
        <w:t>Публично-правовая компания "Единый регулятор азартных игр" осуществляет присоединение программно-аппаратного комплекса, содержащего пакет прикладных программ, предназначенных для ведения перечня физических лиц, отказавшихся от участия в азартных играх, к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порядке, установленном Правительством Российской Федерации</w:t>
      </w:r>
    </w:p>
    <w:p>
      <w:r>
        <w:rPr>
          <w:b/>
        </w:rPr>
        <w:t xml:space="preserve">9. </w:t>
      </w:r>
      <w:r>
        <w:t>Многофункциональный центр предоставления государственных и муниципальных услуг обязан обеспечить оказание услуги по приему заявления физического лица о включении информации о физическом лице в перечень физических лиц, отказавшихся от участия в азартных играх, заявления физического лица об исключении информации о физическом лице из перечня физических лиц, отказавшихся от участия в азартных играх, со дня доработки и настройки автоматизированной информационной системы многофункционального центра предоставления государственных и муниципальных услуг, но не позднее 1 сентября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